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E16119" w14:textId="638CBFD5" w:rsidR="007F7224" w:rsidRDefault="007F7224" w:rsidP="007F7224">
      <w:pPr>
        <w:rPr>
          <w:rFonts w:ascii="Times New Roman" w:eastAsia="Times New Roman" w:hAnsi="Times New Roman" w:cs="Times New Roman"/>
        </w:rPr>
      </w:pPr>
      <w:r w:rsidRPr="007F7224">
        <w:rPr>
          <w:rFonts w:ascii="Times New Roman" w:eastAsia="Times New Roman" w:hAnsi="Times New Roman" w:cs="Times New Roman"/>
          <w:highlight w:val="yellow"/>
        </w:rPr>
        <w:t xml:space="preserve">Create a product pitch for a selected object of design </w:t>
      </w:r>
      <w:proofErr w:type="gramStart"/>
      <w:r w:rsidRPr="007F7224">
        <w:rPr>
          <w:rFonts w:ascii="Times New Roman" w:eastAsia="Times New Roman" w:hAnsi="Times New Roman" w:cs="Times New Roman"/>
          <w:highlight w:val="yellow"/>
        </w:rPr>
        <w:t>( Tiffany</w:t>
      </w:r>
      <w:proofErr w:type="gramEnd"/>
      <w:r w:rsidRPr="007F7224">
        <w:rPr>
          <w:rFonts w:ascii="Times New Roman" w:eastAsia="Times New Roman" w:hAnsi="Times New Roman" w:cs="Times New Roman"/>
          <w:highlight w:val="yellow"/>
        </w:rPr>
        <w:t xml:space="preserve"> Lamp)</w:t>
      </w:r>
    </w:p>
    <w:p w14:paraId="29A8461E" w14:textId="3796AA6A" w:rsidR="007F7224" w:rsidRDefault="007F7224" w:rsidP="007F7224">
      <w:pPr>
        <w:rPr>
          <w:rFonts w:ascii="Times New Roman" w:eastAsia="Times New Roman" w:hAnsi="Times New Roman" w:cs="Times New Roman"/>
        </w:rPr>
      </w:pPr>
    </w:p>
    <w:p w14:paraId="2A148338" w14:textId="4CAF1083" w:rsidR="007F7224" w:rsidRDefault="001E27B7" w:rsidP="007F7224">
      <w:pPr>
        <w:rPr>
          <w:color w:val="0000FF"/>
          <w:u w:val="single" w:color="0000FF"/>
          <w:shd w:val="clear" w:color="auto" w:fill="FFFFFF"/>
        </w:rPr>
      </w:pPr>
      <w:hyperlink r:id="rId4">
        <w:r w:rsidR="007F7224">
          <w:rPr>
            <w:color w:val="0000FF"/>
            <w:u w:val="single" w:color="0000FF"/>
            <w:shd w:val="clear" w:color="auto" w:fill="FFFFFF"/>
          </w:rPr>
          <w:t>https://www.brooklynmuseum.org/opencollection/objects/1308</w:t>
        </w:r>
      </w:hyperlink>
    </w:p>
    <w:p w14:paraId="73193ED7" w14:textId="2A8CA25C" w:rsidR="007F7224" w:rsidRDefault="007F7224" w:rsidP="007F7224">
      <w:pPr>
        <w:rPr>
          <w:color w:val="0000FF"/>
          <w:u w:val="single" w:color="0000FF"/>
          <w:shd w:val="clear" w:color="auto" w:fill="FFFFFF"/>
        </w:rPr>
      </w:pPr>
    </w:p>
    <w:p w14:paraId="703D7EC2" w14:textId="0234C26E" w:rsidR="007F7224" w:rsidRDefault="007F7224" w:rsidP="007F7224">
      <w:pPr>
        <w:rPr>
          <w:color w:val="0000FF"/>
          <w:u w:val="single" w:color="0000FF"/>
          <w:shd w:val="clear" w:color="auto" w:fill="FFFFFF"/>
        </w:rPr>
      </w:pPr>
    </w:p>
    <w:p w14:paraId="3D13A371" w14:textId="72EB458F" w:rsidR="007F7224" w:rsidRPr="007F7224" w:rsidRDefault="007F7224" w:rsidP="007F7224">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46D872DD" wp14:editId="76E4E5F7">
            <wp:extent cx="1727200" cy="2438400"/>
            <wp:effectExtent l="0" t="0" r="0" b="0"/>
            <wp:docPr id="1" name="Picture 1" descr="A picture containing sitting, lamp, table, sm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7.120.54.jpg"/>
                    <pic:cNvPicPr/>
                  </pic:nvPicPr>
                  <pic:blipFill>
                    <a:blip r:embed="rId5">
                      <a:extLst>
                        <a:ext uri="{28A0092B-C50C-407E-A947-70E740481C1C}">
                          <a14:useLocalDpi xmlns:a14="http://schemas.microsoft.com/office/drawing/2010/main" val="0"/>
                        </a:ext>
                      </a:extLst>
                    </a:blip>
                    <a:stretch>
                      <a:fillRect/>
                    </a:stretch>
                  </pic:blipFill>
                  <pic:spPr>
                    <a:xfrm>
                      <a:off x="0" y="0"/>
                      <a:ext cx="1727200" cy="2438400"/>
                    </a:xfrm>
                    <a:prstGeom prst="rect">
                      <a:avLst/>
                    </a:prstGeom>
                  </pic:spPr>
                </pic:pic>
              </a:graphicData>
            </a:graphic>
          </wp:inline>
        </w:drawing>
      </w:r>
    </w:p>
    <w:p w14:paraId="2186F543" w14:textId="77777777" w:rsidR="007F7224" w:rsidRDefault="007F7224" w:rsidP="007F7224">
      <w:pPr>
        <w:spacing w:line="480" w:lineRule="auto"/>
        <w:rPr>
          <w:rFonts w:ascii="Times New Roman" w:eastAsia="Times New Roman" w:hAnsi="Times New Roman" w:cs="Times New Roman"/>
        </w:rPr>
      </w:pPr>
    </w:p>
    <w:p w14:paraId="61C59B06" w14:textId="05907A4E" w:rsidR="007F7224" w:rsidRDefault="007F7224" w:rsidP="007F7224">
      <w:pPr>
        <w:spacing w:line="480" w:lineRule="auto"/>
        <w:rPr>
          <w:rFonts w:ascii="Times New Roman" w:eastAsia="Times New Roman" w:hAnsi="Times New Roman" w:cs="Times New Roman"/>
        </w:rPr>
      </w:pPr>
      <w:r w:rsidRPr="007F7224">
        <w:rPr>
          <w:rFonts w:ascii="Times New Roman" w:eastAsia="Times New Roman" w:hAnsi="Times New Roman" w:cs="Times New Roman"/>
        </w:rPr>
        <w:t>Design objects are encountered, most often, in terms of their purpose—what they are intended to do, what one can do with them. Such purposes are in turn often interpreted as being improvements on older ones, or entirely new, or as simply variations. For this assignment, each student will formulate a product pitch for their selected design object that articulates the object’s purpose and the social, cultural, or technical value of that purpose. The product pitch should make clear whether the object is to be understood as an invention, improvement, or variation. The product pitch should also be conceived as temporally consistent with the original object (</w:t>
      </w:r>
      <w:proofErr w:type="spellStart"/>
      <w:r w:rsidRPr="007F7224">
        <w:rPr>
          <w:rFonts w:ascii="Times New Roman" w:eastAsia="Times New Roman" w:hAnsi="Times New Roman" w:cs="Times New Roman"/>
        </w:rPr>
        <w:t>ie</w:t>
      </w:r>
      <w:proofErr w:type="spellEnd"/>
      <w:r w:rsidRPr="007F7224">
        <w:rPr>
          <w:rFonts w:ascii="Times New Roman" w:eastAsia="Times New Roman" w:hAnsi="Times New Roman" w:cs="Times New Roman"/>
        </w:rPr>
        <w:t xml:space="preserve">: a 19th century design object should be addressed in terms of its historical context.) The format of the assignment is a well-structured </w:t>
      </w:r>
      <w:r>
        <w:rPr>
          <w:rFonts w:ascii="Times New Roman" w:eastAsia="Times New Roman" w:hAnsi="Times New Roman" w:cs="Times New Roman"/>
        </w:rPr>
        <w:t>paper with</w:t>
      </w:r>
      <w:r w:rsidRPr="007F7224">
        <w:rPr>
          <w:rFonts w:ascii="Times New Roman" w:eastAsia="Times New Roman" w:hAnsi="Times New Roman" w:cs="Times New Roman"/>
        </w:rPr>
        <w:t xml:space="preserve"> informative and visually compelling </w:t>
      </w:r>
      <w:r>
        <w:rPr>
          <w:rFonts w:ascii="Times New Roman" w:eastAsia="Times New Roman" w:hAnsi="Times New Roman" w:cs="Times New Roman"/>
        </w:rPr>
        <w:t>illustrations and pictures.</w:t>
      </w:r>
    </w:p>
    <w:p w14:paraId="12B0A7F4" w14:textId="1E27F629" w:rsidR="001E27B7" w:rsidRDefault="001E27B7" w:rsidP="007F7224">
      <w:pPr>
        <w:spacing w:line="480" w:lineRule="auto"/>
        <w:rPr>
          <w:rFonts w:ascii="Times New Roman" w:eastAsia="Times New Roman" w:hAnsi="Times New Roman" w:cs="Times New Roman"/>
        </w:rPr>
      </w:pPr>
    </w:p>
    <w:p w14:paraId="1CAFCA37" w14:textId="1EED69DD" w:rsidR="001E27B7" w:rsidRPr="001E27B7" w:rsidRDefault="001E27B7" w:rsidP="001E27B7">
      <w:pPr>
        <w:spacing w:line="276" w:lineRule="auto"/>
        <w:rPr>
          <w:rFonts w:ascii="Times New Roman" w:eastAsia="Times New Roman" w:hAnsi="Times New Roman" w:cs="Times New Roman"/>
          <w:b/>
          <w:bCs/>
        </w:rPr>
      </w:pPr>
      <w:r w:rsidRPr="001E27B7">
        <w:rPr>
          <w:rFonts w:ascii="Georgia" w:eastAsia="Times New Roman" w:hAnsi="Georgia" w:cs="Times New Roman"/>
          <w:b/>
          <w:bCs/>
          <w:color w:val="111111"/>
          <w:highlight w:val="yellow"/>
          <w:shd w:val="clear" w:color="auto" w:fill="FFFFFF"/>
        </w:rPr>
        <w:t>the pitch is taking place in the moment that the object comes on the market, so you won't be using a retrospective tone.</w:t>
      </w:r>
      <w:r w:rsidRPr="001E27B7">
        <w:rPr>
          <w:rFonts w:ascii="Georgia" w:eastAsia="Times New Roman" w:hAnsi="Georgia" w:cs="Times New Roman"/>
          <w:b/>
          <w:bCs/>
          <w:color w:val="111111"/>
          <w:shd w:val="clear" w:color="auto" w:fill="FFFFFF"/>
        </w:rPr>
        <w:t> </w:t>
      </w:r>
    </w:p>
    <w:p w14:paraId="7E1B5769" w14:textId="77777777" w:rsidR="001E27B7" w:rsidRDefault="001E27B7" w:rsidP="007F7224">
      <w:pPr>
        <w:spacing w:line="480" w:lineRule="auto"/>
        <w:rPr>
          <w:rFonts w:ascii="Times New Roman" w:eastAsia="Times New Roman" w:hAnsi="Times New Roman" w:cs="Times New Roman"/>
        </w:rPr>
      </w:pPr>
    </w:p>
    <w:p w14:paraId="368342C6" w14:textId="73180241" w:rsidR="007F7224" w:rsidRPr="007F7224" w:rsidRDefault="007F7224" w:rsidP="007F7224">
      <w:pPr>
        <w:spacing w:line="480" w:lineRule="auto"/>
        <w:rPr>
          <w:rFonts w:ascii="Times New Roman" w:eastAsia="Times New Roman" w:hAnsi="Times New Roman" w:cs="Times New Roman"/>
          <w:b/>
          <w:bCs/>
        </w:rPr>
      </w:pPr>
      <w:r w:rsidRPr="007F7224">
        <w:rPr>
          <w:rFonts w:ascii="Times New Roman" w:eastAsia="Times New Roman" w:hAnsi="Times New Roman" w:cs="Times New Roman"/>
          <w:b/>
          <w:bCs/>
          <w:highlight w:val="yellow"/>
        </w:rPr>
        <w:t>Sources:</w:t>
      </w:r>
    </w:p>
    <w:p w14:paraId="0356A46B" w14:textId="77777777" w:rsidR="007F7224" w:rsidRDefault="007F7224" w:rsidP="007F7224">
      <w:pPr>
        <w:pStyle w:val="BodyText"/>
        <w:spacing w:line="252" w:lineRule="auto"/>
        <w:ind w:left="820" w:right="381" w:hanging="720"/>
        <w:jc w:val="both"/>
      </w:pPr>
      <w:r>
        <w:t>Abdou, K. R. "Tiffany Lamps: The Illuminating History of the Iconic Stained-Glass Fixtures." My Modern Met. Last modified November 15, 2018. https://mymodernmet.com/louis- comfort-tiffany-lamps/.</w:t>
      </w:r>
    </w:p>
    <w:p w14:paraId="2DEE4CFA" w14:textId="77777777" w:rsidR="007F7224" w:rsidRDefault="007F7224" w:rsidP="007F7224">
      <w:pPr>
        <w:pStyle w:val="BodyText"/>
        <w:rPr>
          <w:sz w:val="26"/>
        </w:rPr>
      </w:pPr>
    </w:p>
    <w:p w14:paraId="2A0BE952" w14:textId="77777777" w:rsidR="007F7224" w:rsidRDefault="007F7224" w:rsidP="007F7224">
      <w:pPr>
        <w:pStyle w:val="BodyText"/>
        <w:spacing w:before="1"/>
        <w:rPr>
          <w:sz w:val="22"/>
        </w:rPr>
      </w:pPr>
    </w:p>
    <w:p w14:paraId="2602C8D1" w14:textId="77777777" w:rsidR="007F7224" w:rsidRDefault="007F7224" w:rsidP="007F7224">
      <w:pPr>
        <w:pStyle w:val="BodyText"/>
        <w:spacing w:line="252" w:lineRule="auto"/>
        <w:ind w:left="820" w:right="143" w:hanging="720"/>
      </w:pPr>
      <w:r>
        <w:t>"Brooklyn Museum." Brooklyn Museum. n.d. https://</w:t>
      </w:r>
      <w:hyperlink r:id="rId6">
        <w:r>
          <w:t>www.brooklynmuseum.org/opencollection/objects/1308.</w:t>
        </w:r>
      </w:hyperlink>
    </w:p>
    <w:p w14:paraId="53DEC9D6" w14:textId="77777777" w:rsidR="007F7224" w:rsidRDefault="007F7224" w:rsidP="007F7224">
      <w:pPr>
        <w:pStyle w:val="BodyText"/>
        <w:rPr>
          <w:sz w:val="26"/>
        </w:rPr>
      </w:pPr>
    </w:p>
    <w:p w14:paraId="24F1F903" w14:textId="77777777" w:rsidR="007F7224" w:rsidRDefault="007F7224" w:rsidP="007F7224">
      <w:pPr>
        <w:pStyle w:val="BodyText"/>
        <w:spacing w:before="2"/>
        <w:rPr>
          <w:sz w:val="22"/>
        </w:rPr>
      </w:pPr>
    </w:p>
    <w:p w14:paraId="71EAB736" w14:textId="77777777" w:rsidR="007F7224" w:rsidRDefault="007F7224" w:rsidP="007F7224">
      <w:pPr>
        <w:pStyle w:val="BodyText"/>
        <w:spacing w:line="252" w:lineRule="auto"/>
        <w:ind w:left="820" w:right="376" w:hanging="720"/>
      </w:pPr>
      <w:r>
        <w:t>Charles, H. "Tiffany Lamps and Lighting from the Morse Collection, Winter Park, Florida." Louis Comfort Tiffany, the Morse Museum, Orlando, Florida. Last modified 2020. https://</w:t>
      </w:r>
      <w:hyperlink r:id="rId7">
        <w:r>
          <w:t>www.morsemuseum.org/on-exhibit/tiffany-lamps-and-lighting-from-the-morse-</w:t>
        </w:r>
      </w:hyperlink>
      <w:r>
        <w:t xml:space="preserve"> collection.</w:t>
      </w:r>
    </w:p>
    <w:p w14:paraId="54838BA0" w14:textId="77777777" w:rsidR="007F7224" w:rsidRDefault="007F7224" w:rsidP="007F7224">
      <w:pPr>
        <w:pStyle w:val="BodyText"/>
        <w:rPr>
          <w:sz w:val="26"/>
        </w:rPr>
      </w:pPr>
    </w:p>
    <w:p w14:paraId="55906073" w14:textId="77777777" w:rsidR="007F7224" w:rsidRDefault="007F7224" w:rsidP="007F7224">
      <w:pPr>
        <w:pStyle w:val="BodyText"/>
        <w:spacing w:before="1"/>
        <w:rPr>
          <w:sz w:val="22"/>
        </w:rPr>
      </w:pPr>
    </w:p>
    <w:p w14:paraId="1ED10820" w14:textId="77777777" w:rsidR="007F7224" w:rsidRDefault="007F7224" w:rsidP="007F7224">
      <w:pPr>
        <w:pStyle w:val="BodyText"/>
        <w:spacing w:line="252" w:lineRule="auto"/>
        <w:ind w:left="820" w:right="481" w:hanging="720"/>
      </w:pPr>
      <w:r>
        <w:t>"Driscoll, Clara (1881–1945)." Encyclopedia.com | Free Online Encyclopedia. Last modified June 21, 2020. https://</w:t>
      </w:r>
      <w:hyperlink r:id="rId8">
        <w:r>
          <w:t>www.encyclopedia.com/women/encyclopedias-almanacs-</w:t>
        </w:r>
      </w:hyperlink>
      <w:r>
        <w:t xml:space="preserve"> transcripts-and-maps/driscoll-clara-1881-1945.</w:t>
      </w:r>
    </w:p>
    <w:p w14:paraId="54318020" w14:textId="77777777" w:rsidR="007F7224" w:rsidRDefault="007F7224" w:rsidP="007F7224">
      <w:pPr>
        <w:pStyle w:val="BodyText"/>
        <w:rPr>
          <w:sz w:val="26"/>
        </w:rPr>
      </w:pPr>
    </w:p>
    <w:p w14:paraId="0A0D36ED" w14:textId="77777777" w:rsidR="007F7224" w:rsidRDefault="007F7224" w:rsidP="007F7224">
      <w:pPr>
        <w:pStyle w:val="BodyText"/>
        <w:spacing w:before="11"/>
        <w:rPr>
          <w:sz w:val="21"/>
        </w:rPr>
      </w:pPr>
    </w:p>
    <w:p w14:paraId="3800D9C5" w14:textId="77777777" w:rsidR="007F7224" w:rsidRDefault="007F7224" w:rsidP="007F7224">
      <w:pPr>
        <w:pStyle w:val="BodyText"/>
        <w:spacing w:line="252" w:lineRule="auto"/>
        <w:ind w:left="820" w:right="143" w:hanging="720"/>
      </w:pPr>
      <w:proofErr w:type="spellStart"/>
      <w:r>
        <w:t>Gedal</w:t>
      </w:r>
      <w:proofErr w:type="spellEnd"/>
      <w:r>
        <w:t xml:space="preserve">, A. "Clara Driscoll and the Tiffany Girls." Behind </w:t>
      </w:r>
      <w:proofErr w:type="gramStart"/>
      <w:r>
        <w:t>The</w:t>
      </w:r>
      <w:proofErr w:type="gramEnd"/>
      <w:r>
        <w:t xml:space="preserve"> Scenes. Last modified December 13, 2019. https://behindthescenes.nyhistory.org/tiffany-girls/.</w:t>
      </w:r>
    </w:p>
    <w:p w14:paraId="13AF32D6" w14:textId="77777777" w:rsidR="007F7224" w:rsidRDefault="007F7224" w:rsidP="007F7224">
      <w:pPr>
        <w:pStyle w:val="BodyText"/>
        <w:rPr>
          <w:sz w:val="26"/>
        </w:rPr>
      </w:pPr>
    </w:p>
    <w:p w14:paraId="433DEE2B" w14:textId="77777777" w:rsidR="007F7224" w:rsidRDefault="007F7224" w:rsidP="007F7224">
      <w:pPr>
        <w:pStyle w:val="BodyText"/>
        <w:spacing w:before="1"/>
        <w:rPr>
          <w:sz w:val="22"/>
        </w:rPr>
      </w:pPr>
    </w:p>
    <w:p w14:paraId="39E6CAD4" w14:textId="77777777" w:rsidR="007F7224" w:rsidRDefault="007F7224" w:rsidP="007F7224">
      <w:pPr>
        <w:spacing w:line="252" w:lineRule="auto"/>
        <w:ind w:left="820" w:right="263" w:hanging="720"/>
      </w:pPr>
      <w:proofErr w:type="spellStart"/>
      <w:r>
        <w:t>Gendre</w:t>
      </w:r>
      <w:proofErr w:type="spellEnd"/>
      <w:r>
        <w:t xml:space="preserve">, Maxime F. "Incandescent Lamps." </w:t>
      </w:r>
      <w:r>
        <w:rPr>
          <w:i/>
        </w:rPr>
        <w:t>Handbook of Advanced Lighting Technology</w:t>
      </w:r>
      <w:r>
        <w:t>, 2015, 1-52. doi:10.1007/978-3-319-00295-8_2-1.</w:t>
      </w:r>
    </w:p>
    <w:p w14:paraId="65FFED5F" w14:textId="77777777" w:rsidR="007F7224" w:rsidRDefault="007F7224" w:rsidP="007F7224">
      <w:pPr>
        <w:pStyle w:val="BodyText"/>
        <w:rPr>
          <w:sz w:val="26"/>
        </w:rPr>
      </w:pPr>
    </w:p>
    <w:p w14:paraId="264244DB" w14:textId="77777777" w:rsidR="007F7224" w:rsidRDefault="007F7224" w:rsidP="007F7224">
      <w:pPr>
        <w:pStyle w:val="BodyText"/>
        <w:spacing w:before="1"/>
        <w:rPr>
          <w:sz w:val="22"/>
        </w:rPr>
      </w:pPr>
    </w:p>
    <w:p w14:paraId="57585C40" w14:textId="77777777" w:rsidR="007F7224" w:rsidRDefault="007F7224" w:rsidP="007F7224">
      <w:pPr>
        <w:ind w:left="100"/>
      </w:pPr>
      <w:r>
        <w:t xml:space="preserve">Gist, </w:t>
      </w:r>
      <w:proofErr w:type="spellStart"/>
      <w:r>
        <w:t>Deeanne</w:t>
      </w:r>
      <w:proofErr w:type="spellEnd"/>
      <w:r>
        <w:t xml:space="preserve">. </w:t>
      </w:r>
      <w:r>
        <w:rPr>
          <w:i/>
        </w:rPr>
        <w:t>Tiffany Girl: A Novel</w:t>
      </w:r>
      <w:r>
        <w:t>. New York: Simon &amp; Schuster, 2015.</w:t>
      </w:r>
    </w:p>
    <w:p w14:paraId="73D7E328" w14:textId="77777777" w:rsidR="007F7224" w:rsidRDefault="007F7224" w:rsidP="007F7224">
      <w:pPr>
        <w:pStyle w:val="BodyText"/>
        <w:rPr>
          <w:sz w:val="26"/>
        </w:rPr>
      </w:pPr>
    </w:p>
    <w:p w14:paraId="3C32628D" w14:textId="77777777" w:rsidR="007F7224" w:rsidRDefault="007F7224" w:rsidP="007F7224">
      <w:pPr>
        <w:pStyle w:val="BodyText"/>
        <w:spacing w:before="3"/>
        <w:rPr>
          <w:sz w:val="23"/>
        </w:rPr>
      </w:pPr>
    </w:p>
    <w:p w14:paraId="73FBA026" w14:textId="77777777" w:rsidR="007F7224" w:rsidRDefault="007F7224" w:rsidP="007F7224">
      <w:pPr>
        <w:pStyle w:val="BodyText"/>
        <w:spacing w:before="1" w:line="252" w:lineRule="auto"/>
        <w:ind w:left="820" w:right="182" w:hanging="720"/>
      </w:pPr>
      <w:proofErr w:type="spellStart"/>
      <w:r>
        <w:t>Hinchman</w:t>
      </w:r>
      <w:proofErr w:type="spellEnd"/>
      <w:r>
        <w:t xml:space="preserve">, Mark, and Elyssa </w:t>
      </w:r>
      <w:proofErr w:type="spellStart"/>
      <w:r>
        <w:t>Yoneda</w:t>
      </w:r>
      <w:proofErr w:type="spellEnd"/>
      <w:r>
        <w:t xml:space="preserve">. "Tiffany, Louis Comfort." </w:t>
      </w:r>
      <w:r>
        <w:rPr>
          <w:i/>
        </w:rPr>
        <w:t>Interior Design Masters</w:t>
      </w:r>
      <w:r>
        <w:t>, 2018, 99-100. doi:10.4324/9781315168203-48.</w:t>
      </w:r>
    </w:p>
    <w:p w14:paraId="173BC559" w14:textId="77777777" w:rsidR="007F7224" w:rsidRDefault="007F7224" w:rsidP="007F7224">
      <w:pPr>
        <w:pStyle w:val="BodyText"/>
        <w:rPr>
          <w:sz w:val="26"/>
        </w:rPr>
      </w:pPr>
    </w:p>
    <w:p w14:paraId="6B0E9E67" w14:textId="77777777" w:rsidR="007F7224" w:rsidRDefault="007F7224" w:rsidP="007F7224">
      <w:pPr>
        <w:pStyle w:val="BodyText"/>
        <w:spacing w:before="9"/>
        <w:rPr>
          <w:sz w:val="21"/>
        </w:rPr>
      </w:pPr>
    </w:p>
    <w:p w14:paraId="2ADFC2AA" w14:textId="77777777" w:rsidR="007F7224" w:rsidRDefault="007F7224" w:rsidP="007F7224">
      <w:pPr>
        <w:spacing w:before="1"/>
        <w:ind w:left="100"/>
      </w:pPr>
      <w:r>
        <w:t xml:space="preserve">Hofer, Margaret K. </w:t>
      </w:r>
      <w:r>
        <w:rPr>
          <w:i/>
        </w:rPr>
        <w:t>The Lamps of Tiffany Studios: Nature Illuminated</w:t>
      </w:r>
      <w:r>
        <w:t xml:space="preserve">. </w:t>
      </w:r>
      <w:proofErr w:type="spellStart"/>
      <w:r>
        <w:t>Skira</w:t>
      </w:r>
      <w:proofErr w:type="spellEnd"/>
      <w:r>
        <w:t xml:space="preserve"> Rizzoli, 2016.</w:t>
      </w:r>
    </w:p>
    <w:p w14:paraId="653BC74D" w14:textId="77777777" w:rsidR="007F7224" w:rsidRDefault="007F7224" w:rsidP="007F7224">
      <w:pPr>
        <w:pStyle w:val="BodyText"/>
        <w:rPr>
          <w:sz w:val="26"/>
        </w:rPr>
      </w:pPr>
    </w:p>
    <w:p w14:paraId="4159C31E" w14:textId="77777777" w:rsidR="007F7224" w:rsidRDefault="007F7224" w:rsidP="007F7224">
      <w:pPr>
        <w:pStyle w:val="BodyText"/>
        <w:spacing w:before="2"/>
        <w:rPr>
          <w:sz w:val="23"/>
        </w:rPr>
      </w:pPr>
    </w:p>
    <w:p w14:paraId="2B9F3030" w14:textId="77777777" w:rsidR="007F7224" w:rsidRDefault="007F7224" w:rsidP="007F7224">
      <w:pPr>
        <w:spacing w:before="1" w:line="252" w:lineRule="auto"/>
        <w:ind w:left="820" w:right="143" w:hanging="720"/>
      </w:pPr>
      <w:proofErr w:type="spellStart"/>
      <w:r>
        <w:t>Huyck</w:t>
      </w:r>
      <w:proofErr w:type="spellEnd"/>
      <w:r>
        <w:t xml:space="preserve">, Heather. </w:t>
      </w:r>
      <w:r>
        <w:rPr>
          <w:i/>
        </w:rPr>
        <w:t>Doing Women's History in Public: A Handbook for Interpretation at Museums and Historic Sites</w:t>
      </w:r>
      <w:r>
        <w:t>. Lanham: Rowman &amp; Littlefield Publishers, 2020.</w:t>
      </w:r>
    </w:p>
    <w:p w14:paraId="1508768F" w14:textId="77777777" w:rsidR="007F7224" w:rsidRDefault="007F7224" w:rsidP="007F7224">
      <w:pPr>
        <w:spacing w:line="252" w:lineRule="auto"/>
        <w:sectPr w:rsidR="007F7224">
          <w:pgSz w:w="12240" w:h="15840"/>
          <w:pgMar w:top="1360" w:right="1340" w:bottom="280" w:left="1340" w:header="720" w:footer="720" w:gutter="0"/>
          <w:cols w:space="720"/>
        </w:sectPr>
      </w:pPr>
    </w:p>
    <w:p w14:paraId="00B90C9E" w14:textId="77777777" w:rsidR="007F7224" w:rsidRDefault="007F7224" w:rsidP="007F7224">
      <w:pPr>
        <w:pStyle w:val="BodyText"/>
        <w:spacing w:before="69" w:line="252" w:lineRule="auto"/>
        <w:ind w:left="820" w:right="171" w:hanging="720"/>
      </w:pPr>
      <w:r>
        <w:lastRenderedPageBreak/>
        <w:t>Peers, A. "Secrets of the "Tiffany Girls" and The History Behind These Stunning Glass Lamps." Galerie. Last modified April 28, 2017. https://</w:t>
      </w:r>
      <w:hyperlink r:id="rId9">
        <w:r>
          <w:t>www.galeriemagazine.com/secrets-</w:t>
        </w:r>
      </w:hyperlink>
      <w:r>
        <w:t xml:space="preserve"> </w:t>
      </w:r>
      <w:proofErr w:type="spellStart"/>
      <w:r>
        <w:t>tiffanys</w:t>
      </w:r>
      <w:proofErr w:type="spellEnd"/>
      <w:r>
        <w:t>-girls-history-behind-stunning-glass-lamps/.</w:t>
      </w:r>
    </w:p>
    <w:p w14:paraId="5625B382" w14:textId="77777777" w:rsidR="007F7224" w:rsidRDefault="007F7224" w:rsidP="007F7224">
      <w:pPr>
        <w:pStyle w:val="BodyText"/>
        <w:rPr>
          <w:sz w:val="26"/>
        </w:rPr>
      </w:pPr>
    </w:p>
    <w:p w14:paraId="7F645F36" w14:textId="77777777" w:rsidR="007F7224" w:rsidRDefault="007F7224" w:rsidP="007F7224">
      <w:pPr>
        <w:pStyle w:val="BodyText"/>
        <w:spacing w:before="1"/>
        <w:rPr>
          <w:sz w:val="22"/>
        </w:rPr>
      </w:pPr>
    </w:p>
    <w:p w14:paraId="48A58FE1" w14:textId="77777777" w:rsidR="007F7224" w:rsidRDefault="007F7224" w:rsidP="007F7224">
      <w:pPr>
        <w:ind w:left="100"/>
      </w:pPr>
      <w:r>
        <w:t xml:space="preserve">Price, J. </w:t>
      </w:r>
      <w:r>
        <w:rPr>
          <w:i/>
        </w:rPr>
        <w:t>Louis Comfort Tiffany: The Painting Career of a Colorist</w:t>
      </w:r>
      <w:r>
        <w:t>. eBooks2go, 2020.</w:t>
      </w:r>
    </w:p>
    <w:p w14:paraId="128D8EEC" w14:textId="77777777" w:rsidR="007F7224" w:rsidRDefault="007F7224" w:rsidP="007F7224">
      <w:pPr>
        <w:pStyle w:val="BodyText"/>
        <w:rPr>
          <w:sz w:val="26"/>
        </w:rPr>
      </w:pPr>
    </w:p>
    <w:p w14:paraId="5BB0A197" w14:textId="77777777" w:rsidR="007F7224" w:rsidRDefault="007F7224" w:rsidP="007F7224">
      <w:pPr>
        <w:pStyle w:val="BodyText"/>
        <w:spacing w:before="3"/>
        <w:rPr>
          <w:sz w:val="23"/>
        </w:rPr>
      </w:pPr>
    </w:p>
    <w:p w14:paraId="2233FDFE" w14:textId="77777777" w:rsidR="007F7224" w:rsidRDefault="007F7224" w:rsidP="007F7224">
      <w:pPr>
        <w:pStyle w:val="BodyText"/>
        <w:spacing w:line="252" w:lineRule="auto"/>
        <w:ind w:left="820" w:right="242" w:hanging="720"/>
      </w:pPr>
      <w:r>
        <w:t>Randall, V. "Tiffany Lamps, and the Women Who Created Them." Www.ourtownny.com. Last modified December 12, 2019. https://</w:t>
      </w:r>
      <w:hyperlink r:id="rId10">
        <w:r>
          <w:t>www.ourtownny.com/newsletter-section/tiffany-</w:t>
        </w:r>
      </w:hyperlink>
      <w:r>
        <w:t xml:space="preserve"> lamps-and-the-women-who-created-them-BD731113.</w:t>
      </w:r>
    </w:p>
    <w:p w14:paraId="3FA3AE79" w14:textId="77777777" w:rsidR="007F7224" w:rsidRDefault="007F7224" w:rsidP="007F7224">
      <w:pPr>
        <w:pStyle w:val="BodyText"/>
        <w:rPr>
          <w:sz w:val="26"/>
        </w:rPr>
      </w:pPr>
    </w:p>
    <w:p w14:paraId="05693074" w14:textId="77777777" w:rsidR="007F7224" w:rsidRDefault="007F7224" w:rsidP="007F7224">
      <w:pPr>
        <w:pStyle w:val="BodyText"/>
        <w:spacing w:before="10"/>
        <w:rPr>
          <w:sz w:val="21"/>
        </w:rPr>
      </w:pPr>
    </w:p>
    <w:p w14:paraId="2F74731C" w14:textId="77777777" w:rsidR="007F7224" w:rsidRDefault="007F7224" w:rsidP="007F7224">
      <w:pPr>
        <w:spacing w:before="1" w:line="252" w:lineRule="auto"/>
        <w:ind w:left="820" w:hanging="720"/>
      </w:pPr>
      <w:r>
        <w:t xml:space="preserve">Rosa, Elizabeth D., and Catherine </w:t>
      </w:r>
      <w:proofErr w:type="spellStart"/>
      <w:r>
        <w:t>Shotick</w:t>
      </w:r>
      <w:proofErr w:type="spellEnd"/>
      <w:r>
        <w:t xml:space="preserve">. </w:t>
      </w:r>
      <w:r>
        <w:rPr>
          <w:i/>
        </w:rPr>
        <w:t>Eternal Light: The Sacred Stained-Glass Windows of Louis Comfort Tiffany</w:t>
      </w:r>
      <w:r>
        <w:t>. Giles, 2019.</w:t>
      </w:r>
    </w:p>
    <w:p w14:paraId="2170D004" w14:textId="77777777" w:rsidR="007F7224" w:rsidRDefault="007F7224" w:rsidP="007F7224">
      <w:pPr>
        <w:pStyle w:val="BodyText"/>
        <w:rPr>
          <w:sz w:val="26"/>
        </w:rPr>
      </w:pPr>
    </w:p>
    <w:p w14:paraId="7FE8F0EE" w14:textId="77777777" w:rsidR="007F7224" w:rsidRDefault="007F7224" w:rsidP="007F7224">
      <w:pPr>
        <w:pStyle w:val="BodyText"/>
        <w:rPr>
          <w:sz w:val="22"/>
        </w:rPr>
      </w:pPr>
    </w:p>
    <w:p w14:paraId="266FE59B" w14:textId="77777777" w:rsidR="007F7224" w:rsidRDefault="007F7224" w:rsidP="007F7224">
      <w:pPr>
        <w:pStyle w:val="BodyText"/>
        <w:spacing w:before="1" w:line="252" w:lineRule="auto"/>
        <w:ind w:left="820" w:right="558" w:hanging="720"/>
      </w:pPr>
      <w:r>
        <w:t xml:space="preserve">Somerville, Kristine. "The Glass Artists: Clara Driscoll and the Tiffany Girls." </w:t>
      </w:r>
      <w:r>
        <w:rPr>
          <w:i/>
        </w:rPr>
        <w:t xml:space="preserve">The Missouri Review </w:t>
      </w:r>
      <w:r>
        <w:t>43, no. 1 (2020), 69-75. doi:10.1353/mis.2020.0005.</w:t>
      </w:r>
    </w:p>
    <w:p w14:paraId="38C800E8" w14:textId="77777777" w:rsidR="007F7224" w:rsidRPr="007F7224" w:rsidRDefault="007F7224" w:rsidP="007F7224">
      <w:pPr>
        <w:spacing w:line="480" w:lineRule="auto"/>
        <w:rPr>
          <w:rFonts w:ascii="Times New Roman" w:eastAsia="Times New Roman" w:hAnsi="Times New Roman" w:cs="Times New Roman"/>
        </w:rPr>
      </w:pPr>
    </w:p>
    <w:p w14:paraId="1A01065C" w14:textId="77777777" w:rsidR="00CD21FC" w:rsidRDefault="00CD21FC" w:rsidP="007F7224">
      <w:pPr>
        <w:spacing w:line="480" w:lineRule="auto"/>
      </w:pPr>
    </w:p>
    <w:sectPr w:rsidR="00CD21FC" w:rsidSect="006F7F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24"/>
    <w:rsid w:val="001E27B7"/>
    <w:rsid w:val="006F7FE2"/>
    <w:rsid w:val="007F7224"/>
    <w:rsid w:val="00CD21FC"/>
    <w:rsid w:val="00FF49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C715D31"/>
  <w15:chartTrackingRefBased/>
  <w15:docId w15:val="{2453D9E5-C3E9-D84E-B0EF-B9174F7CD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F7224"/>
    <w:pPr>
      <w:widowControl w:val="0"/>
      <w:autoSpaceDE w:val="0"/>
      <w:autoSpaceDN w:val="0"/>
    </w:pPr>
    <w:rPr>
      <w:rFonts w:ascii="Times New Roman" w:eastAsia="Times New Roman" w:hAnsi="Times New Roman" w:cs="Times New Roman"/>
      <w:lang w:eastAsia="en-US" w:bidi="en-US"/>
    </w:rPr>
  </w:style>
  <w:style w:type="character" w:customStyle="1" w:styleId="BodyTextChar">
    <w:name w:val="Body Text Char"/>
    <w:basedOn w:val="DefaultParagraphFont"/>
    <w:link w:val="BodyText"/>
    <w:uiPriority w:val="1"/>
    <w:rsid w:val="007F7224"/>
    <w:rPr>
      <w:rFonts w:ascii="Times New Roman" w:eastAsia="Times New Roman" w:hAnsi="Times New Roman" w:cs="Times New Roman"/>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850984">
      <w:bodyDiv w:val="1"/>
      <w:marLeft w:val="0"/>
      <w:marRight w:val="0"/>
      <w:marTop w:val="0"/>
      <w:marBottom w:val="0"/>
      <w:divBdr>
        <w:top w:val="none" w:sz="0" w:space="0" w:color="auto"/>
        <w:left w:val="none" w:sz="0" w:space="0" w:color="auto"/>
        <w:bottom w:val="none" w:sz="0" w:space="0" w:color="auto"/>
        <w:right w:val="none" w:sz="0" w:space="0" w:color="auto"/>
      </w:divBdr>
    </w:div>
    <w:div w:id="670719517">
      <w:bodyDiv w:val="1"/>
      <w:marLeft w:val="0"/>
      <w:marRight w:val="0"/>
      <w:marTop w:val="0"/>
      <w:marBottom w:val="0"/>
      <w:divBdr>
        <w:top w:val="none" w:sz="0" w:space="0" w:color="auto"/>
        <w:left w:val="none" w:sz="0" w:space="0" w:color="auto"/>
        <w:bottom w:val="none" w:sz="0" w:space="0" w:color="auto"/>
        <w:right w:val="none" w:sz="0" w:space="0" w:color="auto"/>
      </w:divBdr>
    </w:div>
    <w:div w:id="157242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cyclopedia.com/women/encyclopedias-almanacs-" TargetMode="External"/><Relationship Id="rId3" Type="http://schemas.openxmlformats.org/officeDocument/2006/relationships/webSettings" Target="webSettings.xml"/><Relationship Id="rId7" Type="http://schemas.openxmlformats.org/officeDocument/2006/relationships/hyperlink" Target="http://www.morsemuseum.org/on-exhibit/tiffany-lamps-and-lighting-from-the-mors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rooklynmuseum.org/opencollection/objects/1308"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http://www.ourtownny.com/newsletter-section/tiffany-" TargetMode="External"/><Relationship Id="rId4" Type="http://schemas.openxmlformats.org/officeDocument/2006/relationships/hyperlink" Target="https://www.brooklynmuseum.org/opencollection/objects/1308" TargetMode="External"/><Relationship Id="rId9" Type="http://schemas.openxmlformats.org/officeDocument/2006/relationships/hyperlink" Target="http://www.galeriemagazine.com/secr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Alshareef, Alla K.</dc:creator>
  <cp:keywords/>
  <dc:description/>
  <cp:lastModifiedBy>Alshareef, Alla K.</cp:lastModifiedBy>
  <cp:revision>2</cp:revision>
  <dcterms:created xsi:type="dcterms:W3CDTF">2020-08-09T21:10:00Z</dcterms:created>
  <dcterms:modified xsi:type="dcterms:W3CDTF">2020-08-09T21:24:00Z</dcterms:modified>
</cp:coreProperties>
</file>